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0BDD">
      <w:pPr>
        <w:spacing w:line="6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附件1</w:t>
      </w:r>
    </w:p>
    <w:p w14:paraId="0FBACEC4">
      <w:pPr>
        <w:spacing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21E7CB7A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重庆市职业教育教学改革研究项目选题参考</w:t>
      </w:r>
    </w:p>
    <w:p w14:paraId="7014826D">
      <w:pPr>
        <w:spacing w:line="600" w:lineRule="exact"/>
        <w:rPr>
          <w:rFonts w:hint="eastAsia" w:ascii="Times New Roman" w:hAnsi="Times New Roman" w:eastAsia="方正小标宋_GBK"/>
          <w:color w:val="000000"/>
          <w:sz w:val="44"/>
          <w:szCs w:val="44"/>
        </w:rPr>
      </w:pPr>
    </w:p>
    <w:p w14:paraId="406C96D8">
      <w:pPr>
        <w:snapToGrid w:val="0"/>
        <w:spacing w:line="60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bookmarkStart w:id="0" w:name="_Hlk168090020"/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一、“高职英语”专项</w:t>
      </w:r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选题参考</w:t>
      </w:r>
    </w:p>
    <w:p w14:paraId="64AE2945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  <w:t>“中文+职业技能”国际化双语教学标准研究</w:t>
      </w:r>
    </w:p>
    <w:p w14:paraId="29BD1FFC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  <w:t>跨文化交际能力培养与海外就业适应性研究</w:t>
      </w:r>
    </w:p>
    <w:p w14:paraId="35952391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3.外语教学的“岗课赛证”综合育人模式实践探究</w:t>
      </w:r>
    </w:p>
    <w:p w14:paraId="5F878FC4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4.外语能力与实践活动结合的职业教育国际化人才培养模式研究 </w:t>
      </w:r>
    </w:p>
    <w:p w14:paraId="35BD8DBD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5.国际化数字课程建设和数字教材开发研究与实践</w:t>
      </w:r>
    </w:p>
    <w:p w14:paraId="0B85310F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6.基于人工智能的高职外语教学模式应用与研究</w:t>
      </w:r>
    </w:p>
    <w:p w14:paraId="028A7283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  <w:t>职业院校“双师型”外语教师队伍能力标准与建设路径研究</w:t>
      </w:r>
    </w:p>
    <w:p w14:paraId="34794F2E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  <w:t>陆海新通道沿线国家文化融入英语教学研究</w:t>
      </w:r>
    </w:p>
    <w:p w14:paraId="3BC8B333">
      <w:pPr>
        <w:snapToGrid w:val="0"/>
        <w:spacing w:line="60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二、“课程思政”专项选题参考</w:t>
      </w:r>
    </w:p>
    <w:p w14:paraId="569CD5F8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1.人工智能时代职业院校课程思政评价体系的数字化转型研究</w:t>
      </w:r>
    </w:p>
    <w:p w14:paraId="66728E33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  <w:t>职业院校课程思政与思政课程协同育人机制研究</w:t>
      </w:r>
    </w:p>
    <w:p w14:paraId="2673AB28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28"/>
          <w:szCs w:val="28"/>
          <w:fitText w:val="8120" w:id="1634731827"/>
          <w:lang w:eastAsia="zh-Hans"/>
        </w:rPr>
        <w:t>中华优秀传统文化</w:t>
      </w: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28"/>
          <w:szCs w:val="28"/>
          <w:fitText w:val="8120" w:id="1634731827"/>
        </w:rPr>
        <w:t>/</w:t>
      </w: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28"/>
          <w:szCs w:val="28"/>
          <w:fitText w:val="8120" w:id="1634731827"/>
          <w:lang w:eastAsia="zh-Hans"/>
        </w:rPr>
        <w:t>地方特色文化融入职业教育课程思政的实践探</w:t>
      </w:r>
      <w:r>
        <w:rPr>
          <w:rFonts w:hint="eastAsia" w:ascii="仿宋_GB2312" w:hAnsi="仿宋_GB2312" w:eastAsia="仿宋_GB2312" w:cs="仿宋_GB2312"/>
          <w:spacing w:val="-1"/>
          <w:w w:val="98"/>
          <w:kern w:val="0"/>
          <w:sz w:val="28"/>
          <w:szCs w:val="28"/>
          <w:fitText w:val="8120" w:id="1634731827"/>
          <w:lang w:eastAsia="zh-Hans"/>
        </w:rPr>
        <w:t>索</w:t>
      </w:r>
    </w:p>
    <w:p w14:paraId="2C8F5CB9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4.乡村振兴战略下涉农专业课程思政与乡土文化融合实践研究</w:t>
      </w:r>
    </w:p>
    <w:p w14:paraId="13C74492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5.职业院校专业课教师“思政教学力”标准与赋能路径研究</w:t>
      </w:r>
    </w:p>
    <w:p w14:paraId="56EEFF84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6.数字化时代红岩精神融入思政课程体系的路径创新</w:t>
      </w:r>
    </w:p>
    <w:p w14:paraId="53451E22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7.课程思政视角下职业教育工匠精神培育路径研究</w:t>
      </w:r>
    </w:p>
    <w:p w14:paraId="0AA271FC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8.课程思政"隐性效能"量化评估研究</w:t>
      </w:r>
    </w:p>
    <w:p w14:paraId="6B0CFCFA">
      <w:pPr>
        <w:snapToGrid w:val="0"/>
        <w:spacing w:line="60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三、“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  <w:t>人工智能赋能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职业教育教学改革”专项选题参考</w:t>
      </w:r>
    </w:p>
    <w:p w14:paraId="3B051008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1.人工智能赋能职业教育课堂教学模式改革与实践研究</w:t>
      </w:r>
    </w:p>
    <w:p w14:paraId="67F4AFD6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人工智能时代职业教育教师数字素养发展研究</w:t>
      </w:r>
    </w:p>
    <w:p w14:paraId="505CA57C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3.人工智能赋能教学质量评价体系构建研究</w:t>
      </w:r>
    </w:p>
    <w:p w14:paraId="4366C724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4.人工智能赋能职业教育数字化教材建设研究与实践</w:t>
      </w:r>
    </w:p>
    <w:p w14:paraId="6AF2DE0B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5.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人工智能赋能的职业教育课程自适应评测系统开发与应用</w:t>
      </w:r>
    </w:p>
    <w:p w14:paraId="216D9C6D">
      <w:pPr>
        <w:snapToGrid w:val="0"/>
        <w:spacing w:line="600" w:lineRule="exact"/>
        <w:ind w:firstLine="560" w:firstLineChars="200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6.人工智能驱动下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的微专业模块化课程体系重构研究</w:t>
      </w:r>
    </w:p>
    <w:p w14:paraId="7671EE3A">
      <w:pPr>
        <w:snapToGrid w:val="0"/>
        <w:spacing w:line="600" w:lineRule="exact"/>
        <w:ind w:firstLine="560" w:firstLineChars="200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7.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人工智能赋能下的虚拟仿真实训教学资源开发与教学改革研究</w:t>
      </w:r>
    </w:p>
    <w:p w14:paraId="4236CEA9">
      <w:pPr>
        <w:snapToGrid w:val="0"/>
        <w:spacing w:line="6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  <w:lang w:eastAsia="zh-Hans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8.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lang w:eastAsia="zh-Hans"/>
        </w:rPr>
        <w:t>人工智能驱动下职业院校学生个性化学习路径规划研究</w:t>
      </w:r>
    </w:p>
    <w:p w14:paraId="704E6D75">
      <w:pPr>
        <w:snapToGrid w:val="0"/>
        <w:spacing w:line="600" w:lineRule="exact"/>
        <w:ind w:firstLine="560" w:firstLineChars="200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9.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虚拟仿真实训平台中AI多模态交互技术的教学应用研究</w:t>
      </w:r>
    </w:p>
    <w:p w14:paraId="57DAF4E9">
      <w:pPr>
        <w:snapToGrid w:val="0"/>
        <w:spacing w:line="600" w:lineRule="exac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四、“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  <w:t>成渝地区双城经济圈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”专项选题参考</w:t>
      </w:r>
    </w:p>
    <w:p w14:paraId="347BB718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成渝地区双城经济圈职业教育协同发展机制研究</w:t>
      </w:r>
    </w:p>
    <w:p w14:paraId="038FBE6D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  <w:t>成渝地区双城经济圈职普融通政策协同创新研究</w:t>
      </w:r>
    </w:p>
    <w:p w14:paraId="43AE8905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成渝地区职业教育校企合作跨区域协同模式研究</w:t>
      </w:r>
    </w:p>
    <w:p w14:paraId="0C2F31D9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</w:t>
      </w:r>
      <w:r>
        <w:rPr>
          <w:rFonts w:ascii="仿宋_GB2312" w:hAnsi="仿宋_GB2312" w:eastAsia="仿宋_GB2312" w:cs="仿宋_GB2312"/>
          <w:kern w:val="0"/>
          <w:sz w:val="28"/>
          <w:szCs w:val="28"/>
          <w:lang w:eastAsia="zh-Hans"/>
        </w:rPr>
        <w:t>基于成渝地区产业需求的职业院校专业布局优化研究</w:t>
      </w:r>
    </w:p>
    <w:p w14:paraId="12DC04AC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成渝地区职业教育国际交流与合作协同发展研究</w:t>
      </w:r>
    </w:p>
    <w:p w14:paraId="5F1919AB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成渝地区职业教育实训基地共享模式研究</w:t>
      </w:r>
    </w:p>
    <w:p w14:paraId="699171BB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7.基于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成渝地区双城经济圈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的高职创新创业教育研究与实践</w:t>
      </w:r>
    </w:p>
    <w:p w14:paraId="2B1A3BB6">
      <w:pPr>
        <w:snapToGrid w:val="0"/>
        <w:spacing w:line="60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五、其他选题参考</w:t>
      </w:r>
    </w:p>
    <w:p w14:paraId="34A52994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1.中高职贯通培养课程体系重构研究</w:t>
      </w:r>
    </w:p>
    <w:p w14:paraId="1436D736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2.中高职贯通培养的学生职业能力评价体系构建</w:t>
      </w:r>
    </w:p>
    <w:p w14:paraId="3DA51D9F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3.“新双高”背景下“五金”建设与产教融合的政策协同研究</w:t>
      </w:r>
    </w:p>
    <w:p w14:paraId="21235D7F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4.数字化背景下**专业“五金”系统化建设实践研究</w:t>
      </w:r>
    </w:p>
    <w:p w14:paraId="0DD4BC84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5.市域产教联合体实体化运行的协同治理策略</w:t>
      </w:r>
    </w:p>
    <w:p w14:paraId="4B243839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6.行业产教融合共同体的“生态化”发展模式研究</w:t>
      </w:r>
    </w:p>
    <w:p w14:paraId="37BAA333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基于现场工程师人才培养的课程体系构建与研究</w:t>
      </w:r>
    </w:p>
    <w:p w14:paraId="1FB4CCE6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8.职普融通背景下职业教育人才培养模式应用研究</w:t>
      </w:r>
    </w:p>
    <w:p w14:paraId="4BE27828">
      <w:pPr>
        <w:snapToGrid w:val="0"/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9.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高职多元生源结构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下分层分类教学改革实施路径研究</w:t>
      </w:r>
    </w:p>
    <w:p w14:paraId="385EF978">
      <w:bookmarkStart w:id="1" w:name="_GoBack"/>
      <w:bookmarkEnd w:id="1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2025-04-25T08:11:24Z</dcterms:created>
  <dc:creator>Admin</dc:creator>
  <cp:lastModifiedBy>六幺</cp:lastModifiedBy>
  <dcterms:modified xsi:type="dcterms:W3CDTF">2025-04-25T08:12:39Z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eyJoZGlkIjoiYzE1MjMxMjhiY2UzZjQyYzc3Yjg2Mzg1MzJlYTY3MGYiLCJ1c2VySWQiOiIxNjI5MDAzMjIwIn0=</vt:lpwstr>
  </property>
  <property fmtid="{D5CDD505-2E9C-101B-9397-08002B2CF9AE}" pid="4" name="ICV">
    <vt:lpwstr>304B04F5A86048A79F965028E03E913F_12</vt:lpwstr>
  </property>
</Properties>
</file>