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D43D5">
      <w:pPr>
        <w:pStyle w:val="4"/>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 w:eastAsia="zh-CN"/>
        </w:rPr>
        <w:t>附件</w:t>
      </w:r>
      <w:r>
        <w:rPr>
          <w:rFonts w:hint="eastAsia" w:ascii="黑体" w:hAnsi="黑体" w:eastAsia="黑体" w:cs="黑体"/>
          <w:sz w:val="32"/>
          <w:szCs w:val="32"/>
          <w:highlight w:val="none"/>
          <w:lang w:val="en-US" w:eastAsia="zh-CN"/>
        </w:rPr>
        <w:t>1</w:t>
      </w:r>
    </w:p>
    <w:p w14:paraId="5F77593A">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宋体" w:hAnsi="宋体"/>
          <w:highlight w:val="none"/>
          <w:lang w:val="en-US" w:eastAsia="zh-CN"/>
        </w:rPr>
      </w:pPr>
    </w:p>
    <w:p w14:paraId="4B226811">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highlight w:val="none"/>
          <w:lang w:val="en-US" w:eastAsia="zh-CN"/>
        </w:rPr>
      </w:pPr>
    </w:p>
    <w:p w14:paraId="39DA710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人力资源社会保障部</w:t>
      </w:r>
    </w:p>
    <w:p w14:paraId="4760498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2025年重大课题申报指南</w:t>
      </w:r>
    </w:p>
    <w:p w14:paraId="05DD2915">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宋体" w:hAnsi="宋体" w:eastAsia="楷体"/>
          <w:sz w:val="32"/>
          <w:highlight w:val="none"/>
          <w:lang w:val="en-US" w:eastAsia="zh-CN"/>
        </w:rPr>
      </w:pPr>
    </w:p>
    <w:p w14:paraId="698171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一、总体要求</w:t>
      </w:r>
    </w:p>
    <w:p w14:paraId="15ACF633">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textAlignment w:val="auto"/>
        <w:rPr>
          <w:rFonts w:hint="default" w:ascii="宋体" w:hAnsi="宋体" w:eastAsia="仿宋_GB2312"/>
          <w:sz w:val="32"/>
          <w:highlight w:val="none"/>
          <w:lang w:val="en-US" w:eastAsia="zh-CN"/>
        </w:rPr>
      </w:pPr>
      <w:r>
        <w:rPr>
          <w:rFonts w:hint="eastAsia" w:ascii="宋体" w:hAnsi="宋体" w:eastAsia="仿宋_GB2312"/>
          <w:sz w:val="32"/>
          <w:highlight w:val="none"/>
          <w:lang w:val="en-US" w:eastAsia="zh-CN"/>
        </w:rPr>
        <w:t xml:space="preserve">    以习近平新时代中国特色社会主义思想为指导，深入贯彻党的二十大和二十届二中、三中全会以及中央经济工作会议精神，坚持以人民为中心的发展思想，完整准确全面贯彻新发展理念，正确认识和准确把握党中央、国务院关于经济社会发展特别是人力资源社会保障工作的决策部署要求，立足国情社情民情，围绕课题主要研究内容，聚焦课题研究重点难点，强化问题导向和系统观念，突出改革思维和创新思路，</w:t>
      </w:r>
      <w:r>
        <w:rPr>
          <w:rFonts w:hint="eastAsia" w:ascii="宋体" w:hAnsi="宋体" w:eastAsia="仿宋_GB2312" w:cs="仿宋_GB2312"/>
          <w:sz w:val="32"/>
          <w:szCs w:val="32"/>
          <w:highlight w:val="none"/>
          <w:lang w:val="en-US" w:eastAsia="zh-CN"/>
        </w:rPr>
        <w:t>形成兼具理论性与实践性、前瞻性与创新性的研究成果，为推动人力资源社会保障事业高质量发展提供智力支持。</w:t>
      </w:r>
    </w:p>
    <w:p w14:paraId="766DFA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二、选题范围</w:t>
      </w:r>
    </w:p>
    <w:p w14:paraId="369BFF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（一）就业友好型发展方式研究</w:t>
      </w:r>
    </w:p>
    <w:p w14:paraId="4E37E0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梳理总结国内外有益做法和先进经验，研究就业友好型发展的内涵、本质和特征，对我国构建就业友好型发展方式提出有价值的政策建议。</w:t>
      </w:r>
    </w:p>
    <w:p w14:paraId="228893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（二）</w:t>
      </w:r>
      <w:r>
        <w:rPr>
          <w:rFonts w:hint="default" w:ascii="宋体" w:hAnsi="宋体" w:eastAsia="楷体" w:cs="楷体"/>
          <w:sz w:val="32"/>
          <w:highlight w:val="none"/>
          <w:lang w:val="en-US" w:eastAsia="zh-CN"/>
        </w:rPr>
        <w:t>中国就业理论体系研究</w:t>
      </w:r>
    </w:p>
    <w:p w14:paraId="125B97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主要研究内容：梳理</w:t>
      </w:r>
      <w:r>
        <w:rPr>
          <w:rFonts w:hint="eastAsia" w:ascii="宋体" w:hAnsi="宋体" w:eastAsia="仿宋_GB2312" w:cs="仿宋_GB2312"/>
          <w:b w:val="0"/>
          <w:bCs w:val="0"/>
          <w:color w:val="auto"/>
          <w:sz w:val="32"/>
          <w:szCs w:val="32"/>
          <w:highlight w:val="none"/>
          <w:u w:val="none"/>
          <w:lang w:val="en" w:eastAsia="zh-CN"/>
        </w:rPr>
        <w:t>总结国际前沿就业理论，结合中国就业实践，聚焦促进高质量充分就业，研究提出适应中国国情的就业理论体系。</w:t>
      </w:r>
    </w:p>
    <w:p w14:paraId="6859C4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（三）</w:t>
      </w:r>
      <w:r>
        <w:rPr>
          <w:rFonts w:hint="default" w:ascii="宋体" w:hAnsi="宋体" w:eastAsia="楷体" w:cs="楷体"/>
          <w:sz w:val="32"/>
          <w:highlight w:val="none"/>
          <w:lang w:val="en-US" w:eastAsia="zh-CN"/>
        </w:rPr>
        <w:t>推动人力资源服务业创新发展研究</w:t>
      </w:r>
    </w:p>
    <w:p w14:paraId="53575D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Times New Roman"/>
          <w:sz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Times New Roman"/>
          <w:sz w:val="32"/>
          <w:highlight w:val="none"/>
          <w:lang w:eastAsia="zh-CN"/>
        </w:rPr>
        <w:t>梳理总结</w:t>
      </w:r>
      <w:r>
        <w:rPr>
          <w:rFonts w:hint="default" w:ascii="宋体" w:hAnsi="宋体" w:eastAsia="仿宋_GB2312" w:cs="Times New Roman"/>
          <w:sz w:val="32"/>
          <w:highlight w:val="none"/>
          <w:lang w:eastAsia="zh-CN"/>
        </w:rPr>
        <w:t>世界主要经济国家和地区人力资源服务业发展状况，</w:t>
      </w:r>
      <w:r>
        <w:rPr>
          <w:rFonts w:hint="eastAsia" w:ascii="宋体" w:hAnsi="宋体" w:eastAsia="仿宋_GB2312" w:cs="Times New Roman"/>
          <w:sz w:val="32"/>
          <w:highlight w:val="none"/>
          <w:lang w:eastAsia="zh-CN"/>
        </w:rPr>
        <w:t>对标剖析</w:t>
      </w:r>
      <w:r>
        <w:rPr>
          <w:rFonts w:hint="eastAsia" w:ascii="宋体" w:hAnsi="宋体" w:eastAsia="仿宋_GB2312" w:cs="Times New Roman"/>
          <w:sz w:val="32"/>
          <w:highlight w:val="none"/>
          <w:lang w:val="en-US" w:eastAsia="zh-CN"/>
        </w:rPr>
        <w:t>3—5家全球知名人力资源服务企业，</w:t>
      </w:r>
      <w:r>
        <w:rPr>
          <w:rFonts w:hint="default" w:ascii="宋体" w:hAnsi="宋体" w:eastAsia="仿宋_GB2312" w:cs="Times New Roman"/>
          <w:sz w:val="32"/>
          <w:highlight w:val="none"/>
          <w:lang w:eastAsia="zh-CN"/>
        </w:rPr>
        <w:t>深入</w:t>
      </w:r>
      <w:r>
        <w:rPr>
          <w:rFonts w:hint="eastAsia" w:ascii="宋体" w:hAnsi="宋体" w:eastAsia="仿宋_GB2312" w:cs="Times New Roman"/>
          <w:sz w:val="32"/>
          <w:highlight w:val="none"/>
          <w:lang w:eastAsia="zh-CN"/>
        </w:rPr>
        <w:t>分析</w:t>
      </w:r>
      <w:r>
        <w:rPr>
          <w:rFonts w:hint="default" w:ascii="宋体" w:hAnsi="宋体" w:eastAsia="仿宋_GB2312" w:cs="Times New Roman"/>
          <w:sz w:val="32"/>
          <w:highlight w:val="none"/>
          <w:lang w:eastAsia="zh-CN"/>
        </w:rPr>
        <w:t>当前和今后一个时期我国人力资源服务业发展趋势，探索</w:t>
      </w:r>
      <w:r>
        <w:rPr>
          <w:rFonts w:hint="eastAsia" w:ascii="宋体" w:hAnsi="宋体" w:eastAsia="仿宋_GB2312" w:cs="Times New Roman"/>
          <w:sz w:val="32"/>
          <w:highlight w:val="none"/>
          <w:lang w:eastAsia="zh-CN"/>
        </w:rPr>
        <w:t>构建我</w:t>
      </w:r>
      <w:r>
        <w:rPr>
          <w:rFonts w:hint="default" w:ascii="宋体" w:hAnsi="宋体" w:eastAsia="仿宋_GB2312" w:cs="Times New Roman"/>
          <w:sz w:val="32"/>
          <w:highlight w:val="none"/>
          <w:lang w:eastAsia="zh-CN"/>
        </w:rPr>
        <w:t>国人力资源服务业创新发展的指标体系</w:t>
      </w:r>
      <w:r>
        <w:rPr>
          <w:rFonts w:hint="eastAsia" w:ascii="宋体" w:hAnsi="宋体" w:eastAsia="仿宋_GB2312" w:cs="Times New Roman"/>
          <w:sz w:val="32"/>
          <w:highlight w:val="none"/>
          <w:lang w:eastAsia="zh-CN"/>
        </w:rPr>
        <w:t>，</w:t>
      </w:r>
      <w:r>
        <w:rPr>
          <w:rFonts w:hint="default" w:ascii="宋体" w:hAnsi="宋体" w:eastAsia="仿宋_GB2312" w:cs="Times New Roman"/>
          <w:sz w:val="32"/>
          <w:highlight w:val="none"/>
          <w:lang w:eastAsia="zh-CN"/>
        </w:rPr>
        <w:t>提出推动人力资源服务业在专业化、数字化、智能化、国际化方面的创新路径</w:t>
      </w:r>
      <w:r>
        <w:rPr>
          <w:rFonts w:hint="eastAsia" w:ascii="宋体" w:hAnsi="宋体" w:eastAsia="仿宋_GB2312" w:cs="Times New Roman"/>
          <w:sz w:val="32"/>
          <w:highlight w:val="none"/>
          <w:lang w:val="en-US" w:eastAsia="zh-CN"/>
        </w:rPr>
        <w:t>和</w:t>
      </w:r>
      <w:r>
        <w:rPr>
          <w:rFonts w:hint="default" w:ascii="宋体" w:hAnsi="宋体" w:eastAsia="仿宋_GB2312" w:cs="Times New Roman"/>
          <w:sz w:val="32"/>
          <w:highlight w:val="none"/>
          <w:lang w:eastAsia="zh-CN"/>
        </w:rPr>
        <w:t>政策建议。</w:t>
      </w:r>
    </w:p>
    <w:p w14:paraId="282141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（四）</w:t>
      </w:r>
      <w:r>
        <w:rPr>
          <w:rFonts w:hint="default" w:ascii="宋体" w:hAnsi="宋体" w:eastAsia="楷体" w:cs="楷体"/>
          <w:sz w:val="32"/>
          <w:highlight w:val="none"/>
          <w:lang w:val="en-US" w:eastAsia="zh-CN"/>
        </w:rPr>
        <w:t>农村人力资源开发利用研究</w:t>
      </w:r>
    </w:p>
    <w:p w14:paraId="72DAF6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楷体"/>
          <w:kern w:val="2"/>
          <w:sz w:val="32"/>
          <w:szCs w:val="24"/>
          <w:highlight w:val="none"/>
          <w:lang w:val="en-US" w:eastAsia="zh-CN" w:bidi="ar-SA"/>
        </w:rPr>
        <w:t>分析当前我国</w:t>
      </w:r>
      <w:r>
        <w:rPr>
          <w:rFonts w:hint="default" w:ascii="宋体" w:hAnsi="宋体" w:eastAsia="仿宋_GB2312" w:cs="仿宋_GB2312"/>
          <w:sz w:val="32"/>
          <w:szCs w:val="32"/>
          <w:highlight w:val="none"/>
        </w:rPr>
        <w:t>农村人力资源总体情况</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评估当前农村人力资源开发利用政策效果，分析问题短板及原因</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总结</w:t>
      </w:r>
      <w:r>
        <w:rPr>
          <w:rFonts w:hint="default" w:ascii="宋体" w:hAnsi="宋体" w:eastAsia="仿宋_GB2312" w:cs="仿宋_GB2312"/>
          <w:sz w:val="32"/>
          <w:szCs w:val="32"/>
          <w:highlight w:val="none"/>
        </w:rPr>
        <w:t>国外典型经验</w:t>
      </w:r>
      <w:r>
        <w:rPr>
          <w:rFonts w:hint="eastAsia" w:ascii="宋体" w:hAnsi="宋体" w:eastAsia="仿宋_GB2312" w:cs="仿宋_GB2312"/>
          <w:sz w:val="32"/>
          <w:szCs w:val="32"/>
          <w:highlight w:val="none"/>
          <w:lang w:eastAsia="zh-CN"/>
        </w:rPr>
        <w:t>，研究提出</w:t>
      </w:r>
      <w:r>
        <w:rPr>
          <w:rFonts w:hint="default" w:ascii="宋体" w:hAnsi="宋体" w:eastAsia="仿宋_GB2312" w:cs="仿宋_GB2312"/>
          <w:sz w:val="32"/>
          <w:szCs w:val="32"/>
          <w:highlight w:val="none"/>
        </w:rPr>
        <w:t>农村人力资源开发利用的路径</w:t>
      </w:r>
      <w:r>
        <w:rPr>
          <w:rFonts w:hint="eastAsia" w:ascii="宋体" w:hAnsi="宋体" w:eastAsia="仿宋_GB2312" w:cs="仿宋_GB2312"/>
          <w:sz w:val="32"/>
          <w:szCs w:val="32"/>
          <w:highlight w:val="none"/>
          <w:lang w:eastAsia="zh-CN"/>
        </w:rPr>
        <w:t>和政</w:t>
      </w:r>
      <w:r>
        <w:rPr>
          <w:rFonts w:hint="default" w:ascii="宋体" w:hAnsi="宋体" w:eastAsia="仿宋_GB2312" w:cs="仿宋_GB2312"/>
          <w:sz w:val="32"/>
          <w:szCs w:val="32"/>
          <w:highlight w:val="none"/>
        </w:rPr>
        <w:t>策建议。</w:t>
      </w:r>
    </w:p>
    <w:p w14:paraId="7034C5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（五）</w:t>
      </w:r>
      <w:r>
        <w:rPr>
          <w:rFonts w:hint="default" w:ascii="宋体" w:hAnsi="宋体" w:eastAsia="楷体" w:cs="楷体"/>
          <w:sz w:val="32"/>
          <w:highlight w:val="none"/>
          <w:lang w:val="en-US" w:eastAsia="zh-CN"/>
        </w:rPr>
        <w:t>扩大企业年金制度覆盖范围问题</w:t>
      </w:r>
      <w:r>
        <w:rPr>
          <w:rFonts w:hint="eastAsia" w:ascii="宋体" w:hAnsi="宋体" w:eastAsia="楷体" w:cs="楷体"/>
          <w:sz w:val="32"/>
          <w:highlight w:val="none"/>
          <w:lang w:val="en-US" w:eastAsia="zh-CN"/>
        </w:rPr>
        <w:t>研究</w:t>
      </w:r>
    </w:p>
    <w:p w14:paraId="4186CE8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sz w:val="32"/>
          <w:szCs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分析</w:t>
      </w:r>
      <w:r>
        <w:rPr>
          <w:rFonts w:hint="default" w:ascii="宋体" w:hAnsi="宋体" w:eastAsia="仿宋_GB2312" w:cs="仿宋_GB2312"/>
          <w:sz w:val="32"/>
          <w:szCs w:val="32"/>
          <w:highlight w:val="none"/>
        </w:rPr>
        <w:t>企业年金扩面存在的问题和难点，借鉴国际经验，提出扩大</w:t>
      </w:r>
      <w:r>
        <w:rPr>
          <w:rFonts w:hint="eastAsia" w:ascii="宋体" w:hAnsi="宋体" w:eastAsia="仿宋_GB2312" w:cs="仿宋_GB2312"/>
          <w:sz w:val="32"/>
          <w:szCs w:val="32"/>
          <w:highlight w:val="none"/>
          <w:lang w:eastAsia="zh-CN"/>
        </w:rPr>
        <w:t>企业年金制度</w:t>
      </w:r>
      <w:r>
        <w:rPr>
          <w:rFonts w:hint="default" w:ascii="宋体" w:hAnsi="宋体" w:eastAsia="仿宋_GB2312" w:cs="仿宋_GB2312"/>
          <w:sz w:val="32"/>
          <w:szCs w:val="32"/>
          <w:highlight w:val="none"/>
        </w:rPr>
        <w:t>覆盖范围的改革路径，</w:t>
      </w:r>
      <w:r>
        <w:rPr>
          <w:rFonts w:hint="eastAsia" w:ascii="宋体" w:hAnsi="宋体" w:eastAsia="仿宋_GB2312" w:cs="仿宋_GB2312"/>
          <w:sz w:val="32"/>
          <w:szCs w:val="32"/>
          <w:highlight w:val="none"/>
          <w:lang w:eastAsia="zh-CN"/>
        </w:rPr>
        <w:t>预测</w:t>
      </w:r>
      <w:r>
        <w:rPr>
          <w:rFonts w:hint="default" w:ascii="宋体" w:hAnsi="宋体" w:eastAsia="仿宋_GB2312" w:cs="仿宋_GB2312"/>
          <w:sz w:val="32"/>
          <w:szCs w:val="32"/>
          <w:highlight w:val="none"/>
        </w:rPr>
        <w:t>各路径对经济社会发展、企业成本、财政支出（支持）政策、企业年金制度运行模式和职工待遇等的影响</w:t>
      </w:r>
      <w:r>
        <w:rPr>
          <w:rFonts w:hint="eastAsia" w:ascii="宋体" w:hAnsi="宋体" w:eastAsia="仿宋_GB2312" w:cs="仿宋_GB2312"/>
          <w:sz w:val="32"/>
          <w:szCs w:val="32"/>
          <w:highlight w:val="none"/>
          <w:lang w:eastAsia="zh-CN"/>
        </w:rPr>
        <w:t>。研究提出企业年金制度内转移，与职业年金跨制度转移，以及与个人养老金跨制度转移等实现路径。</w:t>
      </w:r>
    </w:p>
    <w:p w14:paraId="75A099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（六）</w:t>
      </w:r>
      <w:r>
        <w:rPr>
          <w:rFonts w:hint="default" w:ascii="宋体" w:hAnsi="宋体" w:eastAsia="楷体" w:cs="楷体"/>
          <w:sz w:val="32"/>
          <w:highlight w:val="none"/>
          <w:lang w:val="en-US" w:eastAsia="zh-CN"/>
        </w:rPr>
        <w:t>《工伤保险条例》修订若干问题研究</w:t>
      </w:r>
    </w:p>
    <w:p w14:paraId="32552D21">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sz w:val="32"/>
          <w:szCs w:val="32"/>
          <w:highlight w:val="none"/>
          <w:lang w:eastAsia="zh-CN"/>
        </w:rPr>
        <w:t>围绕工伤保障制度覆盖范围、完善工伤认定和待遇政策、完善工伤保险经办管理职责、强化工伤预防和工伤康复有关内容、健全“三位一体”工伤保险制度体系、优化工伤保险信息化建设和公共服务等重点方面，总结梳理现状，分析存在问题，研究提出《工伤保险条例》修订的政策建议和具体措施。</w:t>
      </w:r>
    </w:p>
    <w:p w14:paraId="26167B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（七）</w:t>
      </w:r>
      <w:r>
        <w:rPr>
          <w:rFonts w:hint="default" w:ascii="宋体" w:hAnsi="宋体" w:eastAsia="楷体" w:cs="楷体"/>
          <w:sz w:val="32"/>
          <w:highlight w:val="none"/>
          <w:lang w:val="en-US" w:eastAsia="zh-CN"/>
        </w:rPr>
        <w:t>社保基金监督条例立法若干问题研究</w:t>
      </w:r>
    </w:p>
    <w:p w14:paraId="4FE71B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围绕进一步</w:t>
      </w:r>
      <w:r>
        <w:rPr>
          <w:rFonts w:hint="eastAsia" w:ascii="宋体" w:hAnsi="宋体" w:eastAsia="仿宋_GB2312" w:cs="仿宋_GB2312"/>
          <w:sz w:val="32"/>
          <w:szCs w:val="32"/>
          <w:highlight w:val="none"/>
          <w:lang w:eastAsia="zh-CN"/>
        </w:rPr>
        <w:t>明确各部门基金监督职责、完善基金监督工作体系、健全基金安全风险防控机制、细化完善基金违规违法行为法律责任等重点方面，总结梳理现状，分析存在问题，研究提出政策建议和改进加强的具体措施。</w:t>
      </w:r>
    </w:p>
    <w:p w14:paraId="305EB2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（八）</w:t>
      </w:r>
      <w:r>
        <w:rPr>
          <w:rFonts w:hint="default" w:ascii="宋体" w:hAnsi="宋体" w:eastAsia="楷体" w:cs="楷体"/>
          <w:sz w:val="32"/>
          <w:highlight w:val="none"/>
          <w:lang w:val="en-US" w:eastAsia="zh-CN"/>
        </w:rPr>
        <w:t>构建国家资历框架体系研究</w:t>
      </w:r>
    </w:p>
    <w:p w14:paraId="48D3A3EF">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b w:val="0"/>
          <w:bCs w:val="0"/>
          <w:color w:val="auto"/>
          <w:sz w:val="32"/>
          <w:szCs w:val="32"/>
          <w:highlight w:val="none"/>
          <w:u w:val="none"/>
          <w:lang w:val="en" w:eastAsia="zh-CN"/>
        </w:rPr>
        <w:t>梳理总结我国国家资历框架内容现行情况，重点分析我国国家资历框架构建过程中的堵点卡点难点及其产生原因，借鉴其他国家经验，研究阐释中国特色国家资历框架的内涵，提出构建我国国家资历框架的突破点、发力点及实现路径。</w:t>
      </w:r>
    </w:p>
    <w:p w14:paraId="00C669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（九）</w:t>
      </w:r>
      <w:r>
        <w:rPr>
          <w:rFonts w:hint="default" w:ascii="宋体" w:hAnsi="宋体" w:eastAsia="楷体" w:cs="楷体"/>
          <w:sz w:val="32"/>
          <w:highlight w:val="none"/>
          <w:lang w:val="en-US" w:eastAsia="zh-CN"/>
        </w:rPr>
        <w:t>人才服务体系建设研究</w:t>
      </w:r>
    </w:p>
    <w:p w14:paraId="6C53B2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主要研究内容：研究辨析人才服务相关概念、范畴、内在逻辑以及与其他人才工作和教育科技工作的关系，</w:t>
      </w:r>
      <w:r>
        <w:rPr>
          <w:rFonts w:hint="eastAsia" w:ascii="宋体" w:hAnsi="宋体" w:eastAsia="仿宋_GB2312" w:cs="仿宋_GB2312"/>
          <w:b w:val="0"/>
          <w:bCs w:val="0"/>
          <w:color w:val="auto"/>
          <w:sz w:val="32"/>
          <w:szCs w:val="32"/>
          <w:highlight w:val="none"/>
          <w:u w:val="none"/>
          <w:lang w:val="en" w:eastAsia="zh-CN"/>
        </w:rPr>
        <w:t>系统梳理我国人才服务体系建设历史沿革、成功经验和现状，以及当前人才服务体系建设典型做法、存在的突出问题，从国家总体、部门、行业、地方等层面总结提炼政策、项目、平台、内容、标准、流程，研究提出为支持国家全面创新、完善和加强国家人才服务体系建设的总体思路和对策。</w:t>
      </w:r>
    </w:p>
    <w:p w14:paraId="7FDD24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w:t>
      </w:r>
      <w:r>
        <w:rPr>
          <w:rFonts w:hint="default" w:ascii="宋体" w:hAnsi="宋体" w:eastAsia="楷体" w:cs="楷体"/>
          <w:sz w:val="32"/>
          <w:highlight w:val="none"/>
          <w:lang w:val="en-US" w:eastAsia="zh-CN"/>
        </w:rPr>
        <w:t>外国人来华工作劳动法律问题研究</w:t>
      </w:r>
    </w:p>
    <w:p w14:paraId="44C3AA1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b w:val="0"/>
          <w:bCs w:val="0"/>
          <w:color w:val="auto"/>
          <w:sz w:val="32"/>
          <w:szCs w:val="32"/>
          <w:highlight w:val="none"/>
          <w:u w:val="none"/>
          <w:lang w:val="en"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美国等发达国家建立健全外国人劳动法律关系的举措，分析外国人来华工作适用我国劳动法律体系存在的主要问题，提炼外国人来华工作劳动关系的政策依据、理论依据和前期实践，研究提出规范我国外国人来华工作劳动管理的具体举措和意见建议。</w:t>
      </w:r>
    </w:p>
    <w:p w14:paraId="602A95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（十一）新形势下劳动关系理论探索研究</w:t>
      </w:r>
    </w:p>
    <w:p w14:paraId="0D380FB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宋体" w:hAnsi="宋体" w:eastAsia="仿宋_GB2312" w:cs="仿宋_GB2312"/>
          <w:b w:val="0"/>
          <w:bCs w:val="0"/>
          <w:color w:val="auto"/>
          <w:kern w:val="2"/>
          <w:sz w:val="32"/>
          <w:szCs w:val="32"/>
          <w:highlight w:val="none"/>
          <w:u w:val="none"/>
          <w:lang w:val="en-US" w:eastAsia="zh-CN" w:bidi="ar-SA"/>
        </w:rPr>
      </w:pPr>
      <w:r>
        <w:rPr>
          <w:rFonts w:hint="eastAsia" w:ascii="宋体" w:hAnsi="宋体" w:eastAsia="仿宋_GB2312" w:cs="仿宋_GB2312"/>
          <w:b w:val="0"/>
          <w:bCs w:val="0"/>
          <w:color w:val="auto"/>
          <w:kern w:val="2"/>
          <w:sz w:val="32"/>
          <w:szCs w:val="32"/>
          <w:highlight w:val="none"/>
          <w:u w:val="none"/>
          <w:lang w:val="en-US" w:eastAsia="zh-CN" w:bidi="ar-SA"/>
        </w:rPr>
        <w:t>主要研究内容：全面梳理建国以来我国劳动关系规制思路、政策调整、治理理念的变化发展，深入分析信息化时代对劳动关系的影响，包括数字经济渗透劳动关系领域的表现以及对就业形式、用工灵活化等方面的影响，研究总结劳动关系出现的灵活化等新特点和新趋势，探索提出新形势下劳动关系政策制度建设的理论观点和基本思路。</w:t>
      </w:r>
    </w:p>
    <w:p w14:paraId="6CC881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（十二）</w:t>
      </w:r>
      <w:r>
        <w:rPr>
          <w:rFonts w:hint="default" w:ascii="宋体" w:hAnsi="宋体" w:eastAsia="楷体" w:cs="楷体"/>
          <w:sz w:val="32"/>
          <w:highlight w:val="none"/>
          <w:lang w:val="en-US" w:eastAsia="zh-CN"/>
        </w:rPr>
        <w:t>完善劳动关系协商协调机制</w:t>
      </w:r>
      <w:r>
        <w:rPr>
          <w:rFonts w:hint="eastAsia" w:ascii="宋体" w:hAnsi="宋体" w:eastAsia="楷体" w:cs="楷体"/>
          <w:sz w:val="32"/>
          <w:highlight w:val="none"/>
          <w:lang w:val="en-US" w:eastAsia="zh-CN"/>
        </w:rPr>
        <w:t>研究</w:t>
      </w:r>
    </w:p>
    <w:p w14:paraId="182955F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仿宋"/>
          <w:sz w:val="32"/>
          <w:szCs w:val="32"/>
          <w:highlight w:val="none"/>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梳理</w:t>
      </w:r>
      <w:r>
        <w:rPr>
          <w:rFonts w:hint="default" w:ascii="宋体" w:hAnsi="宋体" w:eastAsia="仿宋_GB2312" w:cs="仿宋"/>
          <w:sz w:val="32"/>
          <w:szCs w:val="32"/>
          <w:highlight w:val="none"/>
        </w:rPr>
        <w:t>中国劳动关系</w:t>
      </w:r>
      <w:r>
        <w:rPr>
          <w:rFonts w:hint="eastAsia" w:ascii="宋体" w:hAnsi="宋体" w:eastAsia="仿宋_GB2312" w:cs="仿宋"/>
          <w:sz w:val="32"/>
          <w:szCs w:val="32"/>
          <w:highlight w:val="none"/>
          <w:lang w:eastAsia="zh-CN"/>
        </w:rPr>
        <w:t>协商</w:t>
      </w:r>
      <w:r>
        <w:rPr>
          <w:rFonts w:hint="default" w:ascii="宋体" w:hAnsi="宋体" w:eastAsia="仿宋_GB2312" w:cs="仿宋"/>
          <w:sz w:val="32"/>
          <w:szCs w:val="32"/>
          <w:highlight w:val="none"/>
        </w:rPr>
        <w:t>协调机制的发展历程和具体内容</w:t>
      </w:r>
      <w:r>
        <w:rPr>
          <w:rFonts w:hint="eastAsia" w:ascii="宋体" w:hAnsi="宋体" w:eastAsia="仿宋_GB2312" w:cs="仿宋"/>
          <w:sz w:val="32"/>
          <w:szCs w:val="32"/>
          <w:highlight w:val="none"/>
          <w:lang w:eastAsia="zh-CN"/>
        </w:rPr>
        <w:t>，开展</w:t>
      </w:r>
      <w:r>
        <w:rPr>
          <w:rFonts w:hint="default" w:ascii="宋体" w:hAnsi="宋体" w:eastAsia="仿宋_GB2312" w:cs="仿宋"/>
          <w:sz w:val="32"/>
          <w:szCs w:val="32"/>
          <w:highlight w:val="none"/>
        </w:rPr>
        <w:t>中外劳动关系协商协调机制比较研究</w:t>
      </w:r>
      <w:r>
        <w:rPr>
          <w:rFonts w:hint="eastAsia" w:ascii="宋体" w:hAnsi="宋体" w:eastAsia="仿宋_GB2312" w:cs="仿宋"/>
          <w:sz w:val="32"/>
          <w:szCs w:val="32"/>
          <w:highlight w:val="none"/>
          <w:lang w:eastAsia="zh-CN"/>
        </w:rPr>
        <w:t>，分析</w:t>
      </w:r>
      <w:r>
        <w:rPr>
          <w:rFonts w:hint="default" w:ascii="宋体" w:hAnsi="宋体" w:eastAsia="仿宋_GB2312" w:cs="仿宋"/>
          <w:sz w:val="32"/>
          <w:szCs w:val="32"/>
          <w:highlight w:val="none"/>
        </w:rPr>
        <w:t>当前中国劳动关系协商协调机制面临的不足和突出问题</w:t>
      </w:r>
      <w:r>
        <w:rPr>
          <w:rFonts w:hint="eastAsia" w:ascii="宋体" w:hAnsi="宋体" w:eastAsia="仿宋_GB2312" w:cs="仿宋"/>
          <w:sz w:val="32"/>
          <w:szCs w:val="32"/>
          <w:highlight w:val="none"/>
          <w:lang w:eastAsia="zh-CN"/>
        </w:rPr>
        <w:t>，科学界定</w:t>
      </w:r>
      <w:r>
        <w:rPr>
          <w:rFonts w:hint="default" w:ascii="宋体" w:hAnsi="宋体" w:eastAsia="仿宋_GB2312" w:cs="仿宋"/>
          <w:sz w:val="32"/>
          <w:szCs w:val="32"/>
          <w:highlight w:val="none"/>
        </w:rPr>
        <w:t>新时代劳动关系协商协调机制的内涵和外延，</w:t>
      </w:r>
      <w:r>
        <w:rPr>
          <w:rFonts w:hint="eastAsia" w:ascii="宋体" w:hAnsi="宋体" w:eastAsia="仿宋_GB2312" w:cs="仿宋"/>
          <w:sz w:val="32"/>
          <w:szCs w:val="32"/>
          <w:highlight w:val="none"/>
          <w:lang w:eastAsia="zh-CN"/>
        </w:rPr>
        <w:t>提出</w:t>
      </w:r>
      <w:r>
        <w:rPr>
          <w:rFonts w:hint="default" w:ascii="宋体" w:hAnsi="宋体" w:eastAsia="仿宋_GB2312" w:cs="仿宋"/>
          <w:sz w:val="32"/>
          <w:szCs w:val="32"/>
          <w:highlight w:val="none"/>
        </w:rPr>
        <w:t>完善劳动关系协商协调机制的基本思路和有效路径。</w:t>
      </w:r>
    </w:p>
    <w:p w14:paraId="5DE8D5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（十三）</w:t>
      </w:r>
      <w:r>
        <w:rPr>
          <w:rFonts w:hint="default" w:ascii="宋体" w:hAnsi="宋体" w:eastAsia="楷体" w:cs="楷体"/>
          <w:sz w:val="32"/>
          <w:highlight w:val="none"/>
          <w:lang w:val="en-US" w:eastAsia="zh-CN"/>
        </w:rPr>
        <w:t>灵活就业和新就业形态劳动者权益保障</w:t>
      </w:r>
      <w:r>
        <w:rPr>
          <w:rFonts w:hint="eastAsia" w:ascii="宋体" w:hAnsi="宋体" w:eastAsia="楷体" w:cs="楷体"/>
          <w:sz w:val="32"/>
          <w:highlight w:val="none"/>
          <w:lang w:val="en-US" w:eastAsia="zh-CN"/>
        </w:rPr>
        <w:t>法律制度</w:t>
      </w:r>
      <w:r>
        <w:rPr>
          <w:rFonts w:hint="default" w:ascii="宋体" w:hAnsi="宋体" w:eastAsia="楷体" w:cs="楷体"/>
          <w:sz w:val="32"/>
          <w:highlight w:val="none"/>
          <w:lang w:val="en-US" w:eastAsia="zh-CN"/>
        </w:rPr>
        <w:t>研究</w:t>
      </w:r>
    </w:p>
    <w:p w14:paraId="2F3DDDB2">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default" w:ascii="宋体" w:hAnsi="宋体" w:eastAsia="仿宋_GB2312" w:cs="仿宋_GB2312"/>
          <w:sz w:val="32"/>
          <w:szCs w:val="32"/>
          <w:highlight w:val="none"/>
        </w:rPr>
        <w:t>全面评估现行</w:t>
      </w:r>
      <w:r>
        <w:rPr>
          <w:rFonts w:hint="eastAsia" w:ascii="宋体" w:hAnsi="宋体" w:eastAsia="仿宋_GB2312" w:cs="仿宋_GB2312"/>
          <w:sz w:val="32"/>
          <w:szCs w:val="32"/>
          <w:highlight w:val="none"/>
          <w:lang w:eastAsia="zh-CN"/>
        </w:rPr>
        <w:t>灵活就业和</w:t>
      </w:r>
      <w:r>
        <w:rPr>
          <w:rFonts w:hint="default" w:ascii="宋体" w:hAnsi="宋体" w:eastAsia="仿宋_GB2312" w:cs="仿宋_GB2312"/>
          <w:sz w:val="32"/>
          <w:szCs w:val="32"/>
          <w:highlight w:val="none"/>
        </w:rPr>
        <w:t>新就业形态劳动者权益保障政策实施效果</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总结提炼地方和企业维护灵活就业和新就业形态劳动者权益的经验做法</w:t>
      </w:r>
      <w:r>
        <w:rPr>
          <w:rFonts w:hint="eastAsia" w:ascii="宋体" w:hAnsi="宋体" w:eastAsia="仿宋_GB2312" w:cs="仿宋_GB2312"/>
          <w:sz w:val="32"/>
          <w:szCs w:val="32"/>
          <w:highlight w:val="none"/>
          <w:lang w:eastAsia="zh-CN"/>
        </w:rPr>
        <w:t>，并通过</w:t>
      </w:r>
      <w:r>
        <w:rPr>
          <w:rFonts w:hint="default" w:ascii="宋体" w:hAnsi="宋体" w:eastAsia="仿宋_GB2312" w:cs="仿宋_GB2312"/>
          <w:sz w:val="32"/>
          <w:szCs w:val="32"/>
          <w:highlight w:val="none"/>
        </w:rPr>
        <w:t>开展国际比较研究</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对完善我国法律法规制度提出具体意见建议。</w:t>
      </w:r>
      <w:r>
        <w:rPr>
          <w:rFonts w:hint="eastAsia" w:ascii="宋体" w:hAnsi="宋体" w:eastAsia="黑体" w:cs="黑体"/>
          <w:sz w:val="32"/>
          <w:szCs w:val="32"/>
          <w:highlight w:val="none"/>
          <w:lang w:val="en-US" w:eastAsia="zh-CN"/>
        </w:rPr>
        <w:t xml:space="preserve"> </w:t>
      </w:r>
    </w:p>
    <w:p w14:paraId="1FDE06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（十四）创新企业工资分配宏观指导方式方法研究</w:t>
      </w:r>
    </w:p>
    <w:p w14:paraId="0E3F2D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分析评估我国企业工资分配宏观指导政策实施效果，梳理</w:t>
      </w:r>
      <w:r>
        <w:rPr>
          <w:rFonts w:hint="default" w:ascii="宋体" w:hAnsi="宋体" w:eastAsia="仿宋_GB2312" w:cs="Times New Roman"/>
          <w:b w:val="0"/>
          <w:bCs w:val="0"/>
          <w:i w:val="0"/>
          <w:caps w:val="0"/>
          <w:color w:val="auto"/>
          <w:spacing w:val="0"/>
          <w:kern w:val="0"/>
          <w:sz w:val="32"/>
          <w:szCs w:val="32"/>
          <w:highlight w:val="none"/>
          <w:shd w:val="clear" w:color="auto" w:fill="FFFFFF"/>
          <w:lang w:eastAsia="zh-CN" w:bidi="ar"/>
        </w:rPr>
        <w:t>分析国外</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有关政策做法及对我国的启示，探索</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方法</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新路径</w:t>
      </w:r>
      <w:r>
        <w:rPr>
          <w:rFonts w:hint="eastAsia" w:ascii="宋体" w:hAnsi="宋体" w:eastAsia="仿宋_GB2312" w:cs="Times New Roman"/>
          <w:i w:val="0"/>
          <w:caps w:val="0"/>
          <w:color w:val="auto"/>
          <w:spacing w:val="0"/>
          <w:kern w:val="0"/>
          <w:sz w:val="32"/>
          <w:szCs w:val="32"/>
          <w:highlight w:val="none"/>
          <w:shd w:val="clear" w:color="auto" w:fill="FFFFFF"/>
          <w:lang w:eastAsia="zh-CN" w:bidi="ar"/>
        </w:rPr>
        <w:t>，</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提出完善现有</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政策的思路建议。</w:t>
      </w:r>
    </w:p>
    <w:p w14:paraId="76220D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（十五）</w:t>
      </w:r>
      <w:r>
        <w:rPr>
          <w:rFonts w:hint="default" w:ascii="宋体" w:hAnsi="宋体" w:eastAsia="楷体" w:cs="楷体"/>
          <w:sz w:val="32"/>
          <w:highlight w:val="none"/>
          <w:lang w:val="en-US" w:eastAsia="zh-CN"/>
        </w:rPr>
        <w:t>深化高校、科研院所收入分配改革</w:t>
      </w:r>
      <w:r>
        <w:rPr>
          <w:rFonts w:hint="eastAsia" w:ascii="宋体" w:hAnsi="宋体" w:eastAsia="楷体" w:cs="楷体"/>
          <w:sz w:val="32"/>
          <w:highlight w:val="none"/>
          <w:lang w:val="en-US" w:eastAsia="zh-CN"/>
        </w:rPr>
        <w:t>研究</w:t>
      </w:r>
    </w:p>
    <w:p w14:paraId="1DE4EACA">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eastAsia" w:ascii="宋体" w:hAnsi="宋体" w:eastAsia="仿宋_GB2312"/>
          <w:color w:val="auto"/>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主要研究内容：重点</w:t>
      </w:r>
      <w:r>
        <w:rPr>
          <w:rFonts w:hint="default" w:ascii="宋体" w:hAnsi="宋体" w:eastAsia="仿宋_GB2312" w:cs="仿宋_GB2312"/>
          <w:color w:val="auto"/>
          <w:sz w:val="32"/>
          <w:szCs w:val="32"/>
          <w:highlight w:val="none"/>
        </w:rPr>
        <w:t>研究深化高校</w:t>
      </w:r>
      <w:r>
        <w:rPr>
          <w:rFonts w:hint="eastAsia" w:ascii="宋体" w:hAnsi="宋体" w:eastAsia="仿宋_GB2312" w:cs="仿宋_GB2312"/>
          <w:color w:val="auto"/>
          <w:sz w:val="32"/>
          <w:szCs w:val="32"/>
          <w:highlight w:val="none"/>
          <w:lang w:eastAsia="zh-CN"/>
        </w:rPr>
        <w:t>、</w:t>
      </w:r>
      <w:r>
        <w:rPr>
          <w:rFonts w:hint="default" w:ascii="宋体" w:hAnsi="宋体" w:eastAsia="仿宋_GB2312" w:cs="仿宋_GB2312"/>
          <w:color w:val="auto"/>
          <w:sz w:val="32"/>
          <w:szCs w:val="32"/>
          <w:highlight w:val="none"/>
        </w:rPr>
        <w:t>科研院所收入分配改革的方向和着力点、高校与科研院所对深化改革的不同需求、</w:t>
      </w:r>
      <w:r>
        <w:rPr>
          <w:rFonts w:hint="eastAsia" w:ascii="宋体" w:hAnsi="宋体" w:eastAsia="仿宋_GB2312" w:cs="仿宋_GB2312"/>
          <w:color w:val="auto"/>
          <w:sz w:val="32"/>
          <w:szCs w:val="32"/>
          <w:highlight w:val="none"/>
          <w:lang w:eastAsia="zh-CN"/>
        </w:rPr>
        <w:t>薪酬制度改革</w:t>
      </w:r>
      <w:r>
        <w:rPr>
          <w:rFonts w:hint="default" w:ascii="宋体" w:hAnsi="宋体" w:eastAsia="仿宋_GB2312" w:cs="仿宋_GB2312"/>
          <w:color w:val="auto"/>
          <w:sz w:val="32"/>
          <w:szCs w:val="32"/>
          <w:highlight w:val="none"/>
        </w:rPr>
        <w:t>试点工作与教育科技人才体制机制改革一体推进等问题</w:t>
      </w:r>
      <w:r>
        <w:rPr>
          <w:rFonts w:hint="eastAsia" w:ascii="宋体" w:hAnsi="宋体" w:eastAsia="仿宋_GB2312" w:cs="仿宋_GB2312"/>
          <w:color w:val="auto"/>
          <w:sz w:val="32"/>
          <w:szCs w:val="32"/>
          <w:highlight w:val="none"/>
          <w:lang w:eastAsia="zh-CN"/>
        </w:rPr>
        <w:t>，提出深化高校、科研院所收入分配改革的政策建议。</w:t>
      </w:r>
    </w:p>
    <w:p w14:paraId="08C2ED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黑体" w:cs="黑体"/>
          <w:color w:val="auto"/>
          <w:sz w:val="32"/>
          <w:szCs w:val="32"/>
          <w:highlight w:val="none"/>
          <w:lang w:val="en-US" w:eastAsia="zh-CN"/>
        </w:rPr>
      </w:pPr>
      <w:r>
        <w:rPr>
          <w:rFonts w:hint="eastAsia" w:ascii="宋体" w:hAnsi="宋体" w:eastAsia="黑体" w:cs="黑体"/>
          <w:color w:val="auto"/>
          <w:kern w:val="2"/>
          <w:sz w:val="32"/>
          <w:szCs w:val="32"/>
          <w:highlight w:val="none"/>
          <w:lang w:val="en-US" w:eastAsia="zh-CN" w:bidi="ar-SA"/>
        </w:rPr>
        <w:t>三、</w:t>
      </w:r>
      <w:r>
        <w:rPr>
          <w:rFonts w:hint="eastAsia" w:ascii="宋体" w:hAnsi="宋体" w:eastAsia="黑体" w:cs="黑体"/>
          <w:color w:val="auto"/>
          <w:sz w:val="32"/>
          <w:szCs w:val="32"/>
          <w:highlight w:val="none"/>
          <w:lang w:val="en-US" w:eastAsia="zh-CN"/>
        </w:rPr>
        <w:t>申报要求</w:t>
      </w:r>
    </w:p>
    <w:p w14:paraId="32E8F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申报条件：申报单位原则上应为高等院校、科研院所、企业型研究机构等</w:t>
      </w:r>
      <w:r>
        <w:rPr>
          <w:rFonts w:hint="eastAsia" w:ascii="宋体" w:hAnsi="宋体" w:eastAsia="仿宋_GB2312" w:cs="仿宋_GB2312"/>
          <w:sz w:val="32"/>
          <w:szCs w:val="32"/>
          <w:highlight w:val="none"/>
          <w:lang w:val="en-US" w:eastAsia="zh-CN"/>
        </w:rPr>
        <w:t>，并具有完成课题所需的人力和物力条件。课题负责人应当在相关研究领域具有较高的学术造诣，具有副高级（含）以上职称，主持并完成过至少一项部级或省级课题。一人限申报一项课题，同一研究内容不得多头申报。</w:t>
      </w:r>
      <w:bookmarkStart w:id="0" w:name="_GoBack"/>
      <w:bookmarkEnd w:id="0"/>
      <w:r>
        <w:rPr>
          <w:rFonts w:hint="eastAsia" w:ascii="宋体" w:hAnsi="宋体" w:eastAsia="仿宋_GB2312" w:cs="仿宋_GB2312"/>
          <w:sz w:val="32"/>
          <w:szCs w:val="32"/>
          <w:highlight w:val="none"/>
          <w:lang w:val="en-US" w:eastAsia="zh-CN"/>
        </w:rPr>
        <w:t>尚未结项的我部2024年重大课题的课题负责人不能申报本次课题。</w:t>
      </w:r>
    </w:p>
    <w:p w14:paraId="4293E2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kern w:val="2"/>
          <w:sz w:val="32"/>
          <w:szCs w:val="32"/>
          <w:highlight w:val="none"/>
          <w:lang w:val="en-US" w:eastAsia="zh-CN" w:bidi="ar-SA"/>
        </w:rPr>
        <w:t>四、</w:t>
      </w:r>
      <w:r>
        <w:rPr>
          <w:rFonts w:hint="eastAsia" w:ascii="宋体" w:hAnsi="宋体" w:eastAsia="黑体" w:cs="黑体"/>
          <w:sz w:val="32"/>
          <w:szCs w:val="32"/>
          <w:highlight w:val="none"/>
          <w:lang w:val="en-US" w:eastAsia="zh-CN"/>
        </w:rPr>
        <w:t>课题管理</w:t>
      </w:r>
    </w:p>
    <w:p w14:paraId="1D74138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我部对申报材料进行初审</w:t>
      </w:r>
      <w:r>
        <w:rPr>
          <w:rFonts w:hint="default" w:ascii="宋体" w:hAnsi="宋体" w:eastAsia="仿宋_GB2312" w:cs="仿宋_GB2312"/>
          <w:sz w:val="32"/>
          <w:szCs w:val="32"/>
          <w:highlight w:val="none"/>
          <w:lang w:eastAsia="zh-CN"/>
        </w:rPr>
        <w:t>后</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sz w:val="32"/>
          <w:szCs w:val="32"/>
          <w:highlight w:val="none"/>
          <w:lang w:eastAsia="zh-CN"/>
        </w:rPr>
        <w:t>组成</w:t>
      </w:r>
      <w:r>
        <w:rPr>
          <w:rFonts w:hint="eastAsia" w:ascii="宋体" w:hAnsi="宋体" w:eastAsia="仿宋_GB2312" w:cs="仿宋_GB2312"/>
          <w:sz w:val="32"/>
          <w:szCs w:val="32"/>
          <w:highlight w:val="none"/>
          <w:lang w:val="en-US" w:eastAsia="zh-CN"/>
        </w:rPr>
        <w:t>专家评审组对通过初审的申报材料进行立项评审，择优确定</w:t>
      </w:r>
      <w:r>
        <w:rPr>
          <w:rFonts w:hint="default" w:ascii="宋体" w:hAnsi="宋体" w:eastAsia="仿宋_GB2312" w:cs="仿宋_GB2312"/>
          <w:sz w:val="32"/>
          <w:szCs w:val="32"/>
          <w:highlight w:val="none"/>
          <w:lang w:eastAsia="zh-CN"/>
        </w:rPr>
        <w:t>课题</w:t>
      </w:r>
      <w:r>
        <w:rPr>
          <w:rFonts w:hint="eastAsia" w:ascii="宋体" w:hAnsi="宋体" w:eastAsia="仿宋_GB2312" w:cs="仿宋_GB2312"/>
          <w:sz w:val="32"/>
          <w:szCs w:val="32"/>
          <w:highlight w:val="none"/>
          <w:lang w:val="en-US" w:eastAsia="zh-CN"/>
        </w:rPr>
        <w:t>承担单位和课题负责人</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lang w:val="en-US" w:eastAsia="zh-CN"/>
        </w:rPr>
        <w:t>印发立项通知并</w:t>
      </w:r>
      <w:r>
        <w:rPr>
          <w:rFonts w:hint="default" w:ascii="宋体" w:hAnsi="宋体" w:eastAsia="仿宋_GB2312" w:cs="仿宋_GB2312"/>
          <w:sz w:val="32"/>
          <w:szCs w:val="32"/>
          <w:highlight w:val="none"/>
          <w:lang w:eastAsia="zh-CN"/>
        </w:rPr>
        <w:t>组织</w:t>
      </w:r>
      <w:r>
        <w:rPr>
          <w:rFonts w:hint="eastAsia" w:ascii="宋体" w:hAnsi="宋体" w:eastAsia="仿宋_GB2312" w:cs="仿宋_GB2312"/>
          <w:sz w:val="32"/>
          <w:szCs w:val="32"/>
          <w:highlight w:val="none"/>
          <w:lang w:val="en-US" w:eastAsia="zh-CN"/>
        </w:rPr>
        <w:t>签订项目任务书。</w:t>
      </w:r>
    </w:p>
    <w:p w14:paraId="3712CA2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我部对项目实施进行跟踪管理，组织开展中期调度</w:t>
      </w:r>
      <w:r>
        <w:rPr>
          <w:rFonts w:hint="default" w:ascii="宋体" w:hAnsi="宋体" w:eastAsia="仿宋_GB2312" w:cs="仿宋_GB2312"/>
          <w:sz w:val="32"/>
          <w:szCs w:val="32"/>
          <w:highlight w:val="none"/>
          <w:lang w:eastAsia="zh-CN"/>
        </w:rPr>
        <w:t>，必要时对</w:t>
      </w:r>
      <w:r>
        <w:rPr>
          <w:rFonts w:hint="eastAsia" w:ascii="宋体" w:hAnsi="宋体" w:eastAsia="仿宋_GB2312" w:cs="仿宋_GB2312"/>
          <w:sz w:val="32"/>
          <w:szCs w:val="32"/>
          <w:highlight w:val="none"/>
          <w:lang w:val="en-US" w:eastAsia="zh-CN"/>
        </w:rPr>
        <w:t>课题予以中止、撤销和调整。组成专家评审组对课题研究成果进行验收评审，评审结果以书面方式通知课题承担单位和课题负责人。</w:t>
      </w:r>
    </w:p>
    <w:p w14:paraId="0E74831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w:t>
      </w:r>
      <w:r>
        <w:rPr>
          <w:rFonts w:hint="default" w:ascii="宋体" w:hAnsi="宋体" w:eastAsia="仿宋_GB2312" w:cs="仿宋_GB2312"/>
          <w:sz w:val="32"/>
          <w:szCs w:val="32"/>
          <w:highlight w:val="none"/>
          <w:lang w:val="en-US" w:eastAsia="zh-CN"/>
        </w:rPr>
        <w:t>深化高校、科研院所收入分配改革</w:t>
      </w:r>
      <w:r>
        <w:rPr>
          <w:rFonts w:hint="eastAsia" w:ascii="宋体" w:hAnsi="宋体" w:eastAsia="仿宋_GB2312" w:cs="仿宋_GB2312"/>
          <w:sz w:val="32"/>
          <w:szCs w:val="32"/>
          <w:highlight w:val="none"/>
          <w:lang w:val="en-US" w:eastAsia="zh-CN"/>
        </w:rPr>
        <w:t>研究”课题需在2026年12月底前完成，其余课题计划完成时间均为2025年12月底前，特殊情况需要延期的需报我部同意。</w:t>
      </w:r>
    </w:p>
    <w:p w14:paraId="65D3AD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仿宋_GB2312" w:cs="仿宋_GB2312"/>
          <w:b w:val="0"/>
          <w:bCs w:val="0"/>
          <w:sz w:val="32"/>
          <w:szCs w:val="32"/>
          <w:highlight w:val="none"/>
          <w:lang w:val="en-US" w:eastAsia="zh-CN"/>
        </w:rPr>
      </w:pPr>
      <w:r>
        <w:rPr>
          <w:rFonts w:hint="eastAsia" w:ascii="宋体" w:hAnsi="宋体" w:eastAsia="黑体" w:cs="黑体"/>
          <w:b w:val="0"/>
          <w:bCs w:val="0"/>
          <w:kern w:val="2"/>
          <w:sz w:val="32"/>
          <w:szCs w:val="32"/>
          <w:highlight w:val="none"/>
          <w:lang w:val="en-US" w:eastAsia="zh-CN" w:bidi="ar-SA"/>
        </w:rPr>
        <w:t>五、</w:t>
      </w:r>
      <w:r>
        <w:rPr>
          <w:rFonts w:hint="eastAsia" w:ascii="宋体" w:hAnsi="宋体" w:eastAsia="黑体" w:cs="黑体"/>
          <w:b w:val="0"/>
          <w:bCs w:val="0"/>
          <w:sz w:val="32"/>
          <w:szCs w:val="32"/>
          <w:highlight w:val="none"/>
          <w:lang w:val="en-US" w:eastAsia="zh-CN"/>
        </w:rPr>
        <w:t>成果要求</w:t>
      </w:r>
    </w:p>
    <w:p w14:paraId="4F21C4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w:t>
      </w:r>
      <w:r>
        <w:rPr>
          <w:rFonts w:hint="eastAsia" w:ascii="宋体" w:hAnsi="宋体" w:eastAsia="仿宋_GB2312" w:cs="仿宋_GB2312"/>
          <w:sz w:val="32"/>
          <w:szCs w:val="32"/>
          <w:highlight w:val="none"/>
          <w:lang w:val="en-US" w:eastAsia="zh-CN"/>
        </w:rPr>
        <w:t>课题最终成果为不少于2万字的研究报告，要求政治立场坚定，主题鲜明，论点突出，论述有据，政策建议具有针对性、适用性和可操作性，体现理论价值和实践指导意义。</w:t>
      </w:r>
    </w:p>
    <w:p w14:paraId="54B9EF22">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（二）我部拥有课题研究成果的处置权，</w:t>
      </w:r>
      <w:r>
        <w:rPr>
          <w:rFonts w:hint="eastAsia" w:ascii="宋体" w:hAnsi="宋体" w:eastAsia="仿宋_GB2312" w:cs="仿宋_GB2312"/>
          <w:sz w:val="32"/>
          <w:szCs w:val="32"/>
          <w:highlight w:val="none"/>
          <w:lang w:val="en-US" w:eastAsia="zh-CN"/>
        </w:rPr>
        <w:t>课题研究成果如公开发表、出版、报送等，需征得我部同意，并在显著位置标注“人力资源社会保障部重大课题”字样。</w:t>
      </w:r>
    </w:p>
    <w:p w14:paraId="1D60BD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六、经费管理</w:t>
      </w:r>
    </w:p>
    <w:p w14:paraId="2A7759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w:t>
      </w:r>
      <w:r>
        <w:rPr>
          <w:rFonts w:hint="eastAsia" w:ascii="宋体" w:hAnsi="宋体" w:eastAsia="仿宋_GB2312" w:cs="仿宋_GB2312"/>
          <w:sz w:val="32"/>
          <w:szCs w:val="32"/>
          <w:highlight w:val="none"/>
          <w:lang w:val="en-US" w:eastAsia="zh-CN"/>
        </w:rPr>
        <w:t>我部对课题提供经费支持，每项课题不超过25万元，分两次拨付至课题承担单位银行账户，签订项目任务书后拨付70%，课题通过结项验收后拨付30%。各承担单位应积极配套资金支持课题研究。</w:t>
      </w:r>
    </w:p>
    <w:p w14:paraId="380EC26F">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（二）</w:t>
      </w:r>
      <w:r>
        <w:rPr>
          <w:rFonts w:hint="eastAsia" w:ascii="宋体" w:hAnsi="宋体" w:eastAsia="仿宋_GB2312" w:cs="仿宋_GB2312"/>
          <w:sz w:val="32"/>
          <w:szCs w:val="32"/>
          <w:highlight w:val="none"/>
          <w:lang w:val="en-US" w:eastAsia="zh-CN"/>
        </w:rPr>
        <w:t>课题承担单位负责经费使用的监督管理，课题负责人应严格按有关规定使用经费，自觉接受有关部门的监督检查，并对课题经费使用的真实性、合法性和有效性负责。</w:t>
      </w:r>
    </w:p>
    <w:p w14:paraId="0EE87FD2">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七、联系方式</w:t>
      </w:r>
    </w:p>
    <w:p w14:paraId="054A4FA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联系人：康婷婷  陈一然</w:t>
      </w:r>
    </w:p>
    <w:p w14:paraId="3563CAD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宋体" w:hAnsi="宋体" w:eastAsia="仿宋_GB2312" w:cs="仿宋_GB2312"/>
          <w:sz w:val="32"/>
          <w:szCs w:val="32"/>
          <w:highlight w:val="none"/>
          <w:lang w:val="en" w:eastAsia="zh-CN"/>
        </w:rPr>
      </w:pPr>
      <w:r>
        <w:rPr>
          <w:rFonts w:hint="eastAsia" w:ascii="宋体" w:hAnsi="宋体" w:eastAsia="仿宋_GB2312" w:cs="仿宋_GB2312"/>
          <w:sz w:val="32"/>
          <w:szCs w:val="32"/>
          <w:highlight w:val="none"/>
          <w:lang w:val="en-US" w:eastAsia="zh-CN"/>
        </w:rPr>
        <w:t>联系电话：010-</w:t>
      </w:r>
      <w:r>
        <w:rPr>
          <w:rFonts w:hint="default" w:ascii="宋体" w:hAnsi="宋体" w:eastAsia="仿宋_GB2312" w:cs="仿宋_GB2312"/>
          <w:sz w:val="32"/>
          <w:szCs w:val="32"/>
          <w:highlight w:val="none"/>
          <w:lang w:val="en" w:eastAsia="zh-CN"/>
        </w:rPr>
        <w:t>84233601 84233640</w:t>
      </w:r>
    </w:p>
    <w:p w14:paraId="371DE9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联系地址：北京市东城区和平里东街3号人力资源社会    </w:t>
      </w:r>
    </w:p>
    <w:p w14:paraId="042D41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w:t>
      </w:r>
      <w:r>
        <w:rPr>
          <w:rFonts w:hint="default" w:ascii="宋体" w:hAnsi="宋体" w:eastAsia="仿宋_GB2312" w:cs="仿宋_GB2312"/>
          <w:sz w:val="32"/>
          <w:szCs w:val="32"/>
          <w:highlight w:val="none"/>
          <w:lang w:val="en" w:eastAsia="zh-CN"/>
        </w:rPr>
        <w:t xml:space="preserve"> </w:t>
      </w:r>
      <w:r>
        <w:rPr>
          <w:rFonts w:hint="eastAsia" w:ascii="宋体" w:hAnsi="宋体" w:eastAsia="仿宋_GB2312" w:cs="仿宋_GB2312"/>
          <w:sz w:val="32"/>
          <w:szCs w:val="32"/>
          <w:highlight w:val="none"/>
          <w:lang w:val="en-US" w:eastAsia="zh-CN"/>
        </w:rPr>
        <w:t>保障部规划财务司科技和审计处</w:t>
      </w:r>
    </w:p>
    <w:p w14:paraId="5899F59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电子邮箱：rsbzdkt2025@126.com        </w:t>
      </w:r>
    </w:p>
    <w:p w14:paraId="6EE462E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邮    编：100013</w:t>
      </w:r>
    </w:p>
    <w:p w14:paraId="197F6E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cs="黑体"/>
          <w:sz w:val="32"/>
          <w:szCs w:val="32"/>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26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0837CA">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F0837C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2794"/>
    <w:multiLevelType w:val="singleLevel"/>
    <w:tmpl w:val="832127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TQ3ZDMxMTc0MGE3Mjc2ZjYzMjYyODcwZTAwMTAifQ=="/>
  </w:docVars>
  <w:rsids>
    <w:rsidRoot w:val="533C5857"/>
    <w:rsid w:val="057600E5"/>
    <w:rsid w:val="07EA70C4"/>
    <w:rsid w:val="0DCC7679"/>
    <w:rsid w:val="12437483"/>
    <w:rsid w:val="18522CA3"/>
    <w:rsid w:val="1B97024D"/>
    <w:rsid w:val="1E7672D4"/>
    <w:rsid w:val="1F75D676"/>
    <w:rsid w:val="1FB7E3DE"/>
    <w:rsid w:val="1FDF13AD"/>
    <w:rsid w:val="22EB7312"/>
    <w:rsid w:val="276BBB2D"/>
    <w:rsid w:val="2CEFD0C1"/>
    <w:rsid w:val="2F9F915A"/>
    <w:rsid w:val="2FBD7453"/>
    <w:rsid w:val="2FFB483D"/>
    <w:rsid w:val="34517AE6"/>
    <w:rsid w:val="34620179"/>
    <w:rsid w:val="35DEC63E"/>
    <w:rsid w:val="37FA086A"/>
    <w:rsid w:val="38FE3FF5"/>
    <w:rsid w:val="3B5F8385"/>
    <w:rsid w:val="3D5D4B11"/>
    <w:rsid w:val="3D772A30"/>
    <w:rsid w:val="3FBE6050"/>
    <w:rsid w:val="4AF62333"/>
    <w:rsid w:val="4F263E0C"/>
    <w:rsid w:val="4F2B4499"/>
    <w:rsid w:val="4F77356E"/>
    <w:rsid w:val="4FAC4115"/>
    <w:rsid w:val="552B8A32"/>
    <w:rsid w:val="55391545"/>
    <w:rsid w:val="55DF8E59"/>
    <w:rsid w:val="55FF78AB"/>
    <w:rsid w:val="56F35389"/>
    <w:rsid w:val="56FF9FF4"/>
    <w:rsid w:val="571DA1D4"/>
    <w:rsid w:val="579D4C0A"/>
    <w:rsid w:val="57AED1FD"/>
    <w:rsid w:val="57FAE21A"/>
    <w:rsid w:val="5B2F1E2A"/>
    <w:rsid w:val="5BCE8790"/>
    <w:rsid w:val="5BF7A945"/>
    <w:rsid w:val="5DFEEAAD"/>
    <w:rsid w:val="5ECFC8D4"/>
    <w:rsid w:val="5EF6C032"/>
    <w:rsid w:val="5F2F298B"/>
    <w:rsid w:val="5F9F9097"/>
    <w:rsid w:val="5FAA3805"/>
    <w:rsid w:val="5FCBD4A5"/>
    <w:rsid w:val="5FF7412D"/>
    <w:rsid w:val="5FFFE92D"/>
    <w:rsid w:val="62EBC77E"/>
    <w:rsid w:val="637B8D7C"/>
    <w:rsid w:val="65DF571C"/>
    <w:rsid w:val="677516A0"/>
    <w:rsid w:val="67FB0C8E"/>
    <w:rsid w:val="6A7B95F3"/>
    <w:rsid w:val="6AAF5ABA"/>
    <w:rsid w:val="6AFFD132"/>
    <w:rsid w:val="6BEE1F1B"/>
    <w:rsid w:val="6CB7B8F0"/>
    <w:rsid w:val="6F2DF126"/>
    <w:rsid w:val="6F7F941D"/>
    <w:rsid w:val="6F7FBFE0"/>
    <w:rsid w:val="6FBE2B19"/>
    <w:rsid w:val="6FCF6995"/>
    <w:rsid w:val="6FDF3291"/>
    <w:rsid w:val="6FF52093"/>
    <w:rsid w:val="6FFBA32C"/>
    <w:rsid w:val="73F72A63"/>
    <w:rsid w:val="747420CC"/>
    <w:rsid w:val="7593CD7F"/>
    <w:rsid w:val="75FD889D"/>
    <w:rsid w:val="75FEB337"/>
    <w:rsid w:val="763EDBA1"/>
    <w:rsid w:val="77AE9664"/>
    <w:rsid w:val="77F9EE2A"/>
    <w:rsid w:val="77FB8A55"/>
    <w:rsid w:val="77FE0B53"/>
    <w:rsid w:val="77FEA03B"/>
    <w:rsid w:val="77FFC178"/>
    <w:rsid w:val="795816BE"/>
    <w:rsid w:val="79CA6BC8"/>
    <w:rsid w:val="7A2771FE"/>
    <w:rsid w:val="7ADDCB72"/>
    <w:rsid w:val="7AFB876C"/>
    <w:rsid w:val="7B5D8295"/>
    <w:rsid w:val="7BBACE04"/>
    <w:rsid w:val="7BBD4F09"/>
    <w:rsid w:val="7BBEFC79"/>
    <w:rsid w:val="7BEC475A"/>
    <w:rsid w:val="7BF783C1"/>
    <w:rsid w:val="7BFE97B2"/>
    <w:rsid w:val="7C7FADA0"/>
    <w:rsid w:val="7CDBAE95"/>
    <w:rsid w:val="7CEE3ADD"/>
    <w:rsid w:val="7D6BFA28"/>
    <w:rsid w:val="7D7F8EA7"/>
    <w:rsid w:val="7DEFC68D"/>
    <w:rsid w:val="7DF50A36"/>
    <w:rsid w:val="7DFB7122"/>
    <w:rsid w:val="7DFECD24"/>
    <w:rsid w:val="7E739C7C"/>
    <w:rsid w:val="7E7B87FA"/>
    <w:rsid w:val="7E7F103A"/>
    <w:rsid w:val="7EDFDB73"/>
    <w:rsid w:val="7EEFC8E4"/>
    <w:rsid w:val="7EFD3A14"/>
    <w:rsid w:val="7F175CD7"/>
    <w:rsid w:val="7F379A38"/>
    <w:rsid w:val="7F77B0BE"/>
    <w:rsid w:val="7F7F0315"/>
    <w:rsid w:val="7F7FBF1F"/>
    <w:rsid w:val="7F8D9DCE"/>
    <w:rsid w:val="7FD77366"/>
    <w:rsid w:val="7FD7CF82"/>
    <w:rsid w:val="7FD9F43F"/>
    <w:rsid w:val="7FDFD93F"/>
    <w:rsid w:val="7FE7074E"/>
    <w:rsid w:val="7FED95D7"/>
    <w:rsid w:val="7FF261D9"/>
    <w:rsid w:val="7FF5DB4E"/>
    <w:rsid w:val="7FF794AD"/>
    <w:rsid w:val="7FFAF93A"/>
    <w:rsid w:val="7FFC491A"/>
    <w:rsid w:val="7FFEE4DD"/>
    <w:rsid w:val="7FFF5BBC"/>
    <w:rsid w:val="7FFF62D5"/>
    <w:rsid w:val="81FE7CE6"/>
    <w:rsid w:val="97B38972"/>
    <w:rsid w:val="9FB1F3C5"/>
    <w:rsid w:val="9FFD39C3"/>
    <w:rsid w:val="9FFF1F41"/>
    <w:rsid w:val="A27FC6CF"/>
    <w:rsid w:val="A7DF1EF1"/>
    <w:rsid w:val="ABBCC86D"/>
    <w:rsid w:val="AEFB4506"/>
    <w:rsid w:val="B3BD7776"/>
    <w:rsid w:val="B5EFFCD0"/>
    <w:rsid w:val="B61F5A6B"/>
    <w:rsid w:val="B7EDE07A"/>
    <w:rsid w:val="B9FFE0C5"/>
    <w:rsid w:val="BA7F6EED"/>
    <w:rsid w:val="BBA7D882"/>
    <w:rsid w:val="BBBDFF4D"/>
    <w:rsid w:val="BBDC4B72"/>
    <w:rsid w:val="BBFF3B3E"/>
    <w:rsid w:val="BDBD70BE"/>
    <w:rsid w:val="BDBE24D3"/>
    <w:rsid w:val="BED9888F"/>
    <w:rsid w:val="BF7D8330"/>
    <w:rsid w:val="BF7D9B5E"/>
    <w:rsid w:val="BFEF5797"/>
    <w:rsid w:val="BFF524CB"/>
    <w:rsid w:val="BFFD2B56"/>
    <w:rsid w:val="BFFF78C9"/>
    <w:rsid w:val="C6DB1D01"/>
    <w:rsid w:val="C73F32DC"/>
    <w:rsid w:val="C77FDD2D"/>
    <w:rsid w:val="CB0EAAF4"/>
    <w:rsid w:val="CD7FFE00"/>
    <w:rsid w:val="D27F06C6"/>
    <w:rsid w:val="D2CADA2C"/>
    <w:rsid w:val="D4AB4BDC"/>
    <w:rsid w:val="D5FFE6A4"/>
    <w:rsid w:val="D777F279"/>
    <w:rsid w:val="D7D7A0DB"/>
    <w:rsid w:val="D7FA6FC7"/>
    <w:rsid w:val="DBFCC98D"/>
    <w:rsid w:val="DE4D0063"/>
    <w:rsid w:val="DF4F92A2"/>
    <w:rsid w:val="DF77854B"/>
    <w:rsid w:val="DFDF6D60"/>
    <w:rsid w:val="DFEF1DB2"/>
    <w:rsid w:val="DFF56D10"/>
    <w:rsid w:val="DFFE188A"/>
    <w:rsid w:val="E2B8FF8E"/>
    <w:rsid w:val="E3FF46D6"/>
    <w:rsid w:val="E56FFD98"/>
    <w:rsid w:val="E5F5F858"/>
    <w:rsid w:val="E7C5901B"/>
    <w:rsid w:val="E9EB789D"/>
    <w:rsid w:val="EAE7DF13"/>
    <w:rsid w:val="EAFA3B77"/>
    <w:rsid w:val="EAFBD562"/>
    <w:rsid w:val="EBEE4F88"/>
    <w:rsid w:val="EF1D9095"/>
    <w:rsid w:val="EF8704AD"/>
    <w:rsid w:val="EFEFBAC6"/>
    <w:rsid w:val="F26F5B41"/>
    <w:rsid w:val="F3A8860D"/>
    <w:rsid w:val="F3FDD8C7"/>
    <w:rsid w:val="F4DFFED0"/>
    <w:rsid w:val="F77BCEBA"/>
    <w:rsid w:val="F79EE407"/>
    <w:rsid w:val="F7EF9F2B"/>
    <w:rsid w:val="F7F3BBEE"/>
    <w:rsid w:val="F7F76923"/>
    <w:rsid w:val="F7FE61BA"/>
    <w:rsid w:val="F92AFF6B"/>
    <w:rsid w:val="FB699A23"/>
    <w:rsid w:val="FB7BDB9A"/>
    <w:rsid w:val="FBCE0A8B"/>
    <w:rsid w:val="FBD559C7"/>
    <w:rsid w:val="FBDB5E93"/>
    <w:rsid w:val="FBF3F661"/>
    <w:rsid w:val="FBF7B9D6"/>
    <w:rsid w:val="FBFFB92C"/>
    <w:rsid w:val="FCFD156A"/>
    <w:rsid w:val="FDAF3AF1"/>
    <w:rsid w:val="FDEEB789"/>
    <w:rsid w:val="FE77C5EF"/>
    <w:rsid w:val="FE9F78F3"/>
    <w:rsid w:val="FEC16031"/>
    <w:rsid w:val="FED79B1C"/>
    <w:rsid w:val="FEFB89BD"/>
    <w:rsid w:val="FF3FC252"/>
    <w:rsid w:val="FF5F5A75"/>
    <w:rsid w:val="FF772464"/>
    <w:rsid w:val="FF7EADCB"/>
    <w:rsid w:val="FF9BE614"/>
    <w:rsid w:val="FFA7D454"/>
    <w:rsid w:val="FFBBC8C7"/>
    <w:rsid w:val="FFC4C976"/>
    <w:rsid w:val="FFD86AB9"/>
    <w:rsid w:val="FFEF3579"/>
    <w:rsid w:val="FFFBA8FA"/>
    <w:rsid w:val="FFFE07CA"/>
    <w:rsid w:val="FFFF44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afterLines="0"/>
    </w:pPr>
  </w:style>
  <w:style w:type="paragraph" w:styleId="3">
    <w:name w:val="footer"/>
    <w:basedOn w:val="1"/>
    <w:next w:val="4"/>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3262</Words>
  <Characters>3327</Characters>
  <Lines>0</Lines>
  <Paragraphs>0</Paragraphs>
  <TotalTime>63</TotalTime>
  <ScaleCrop>false</ScaleCrop>
  <LinksUpToDate>false</LinksUpToDate>
  <CharactersWithSpaces>3369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2024-04-04T09:49:00Z</dcterms:created>
  <dc:creator>yuanyz</dc:creator>
  <cp:lastModifiedBy>六幺</cp:lastModifiedBy>
  <cp:lastPrinted>2025-02-12T17:11:00Z</cp:lastPrinted>
  <dcterms:modified xsi:type="dcterms:W3CDTF">2025-02-17T05:48:15Z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C48AFF2F52434B8F95C238FC2A60605C_13</vt:lpwstr>
  </property>
  <property fmtid="{D5CDD505-2E9C-101B-9397-08002B2CF9AE}" pid="4" name="KSOTemplateDocerSaveRecord">
    <vt:lpwstr>eyJoZGlkIjoiYzE1MjMxMjhiY2UzZjQyYzc3Yjg2Mzg1MzJlYTY3MGYiLCJ1c2VySWQiOiIxNjI5MDAzMjIwIn0=</vt:lpwstr>
  </property>
</Properties>
</file>